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F78ED" w14:textId="39EAE5B0" w:rsidR="002B7376" w:rsidRPr="00227D58" w:rsidRDefault="002B7376" w:rsidP="002B7376">
      <w:pPr>
        <w:ind w:right="8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27D58">
        <w:rPr>
          <w:b/>
          <w:bCs/>
          <w:sz w:val="24"/>
          <w:szCs w:val="24"/>
        </w:rPr>
        <w:t xml:space="preserve">ΤΕΧΝΙΚΕΣ ΠΡΟΔΙΑΓΡΑΦΕΣ </w:t>
      </w:r>
      <w:r w:rsidR="00B73855">
        <w:rPr>
          <w:b/>
          <w:bCs/>
          <w:sz w:val="24"/>
          <w:szCs w:val="24"/>
        </w:rPr>
        <w:t xml:space="preserve">ΓΙΑ </w:t>
      </w:r>
      <w:r w:rsidRPr="00227D58">
        <w:rPr>
          <w:b/>
          <w:bCs/>
          <w:sz w:val="24"/>
          <w:szCs w:val="24"/>
        </w:rPr>
        <w:t>ΤΗΝ ΕΓΚΑΤΑΣΤΑΣΗ ΚΑΙ ΓΙΑ ΤΟΝ ΕΞΟΠΛΙΣΜΟ</w:t>
      </w:r>
    </w:p>
    <w:p w14:paraId="057EFB1C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p w14:paraId="737420EF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Οι αναμεταδότες θα πρέπει να τοποθετηθούν από την ανάδοχο εταιρεία ως εξής:</w:t>
      </w:r>
    </w:p>
    <w:p w14:paraId="492060C4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1</w:t>
      </w:r>
      <w:r w:rsidRPr="00227D58">
        <w:rPr>
          <w:sz w:val="24"/>
          <w:szCs w:val="24"/>
          <w:vertAlign w:val="superscript"/>
        </w:rPr>
        <w:t>ο</w:t>
      </w:r>
      <w:r w:rsidRPr="00227D58">
        <w:rPr>
          <w:sz w:val="24"/>
          <w:szCs w:val="24"/>
        </w:rPr>
        <w:t xml:space="preserve"> Σετ από το Παθολογικό στο Ευεργετών. </w:t>
      </w:r>
    </w:p>
    <w:p w14:paraId="7A2D276D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2</w:t>
      </w:r>
      <w:r w:rsidRPr="00227D58">
        <w:rPr>
          <w:sz w:val="24"/>
          <w:szCs w:val="24"/>
          <w:vertAlign w:val="superscript"/>
        </w:rPr>
        <w:t>ο</w:t>
      </w:r>
      <w:r w:rsidRPr="00227D58">
        <w:rPr>
          <w:sz w:val="24"/>
          <w:szCs w:val="24"/>
        </w:rPr>
        <w:t xml:space="preserve"> Σετ από το Ευεργετών στο </w:t>
      </w:r>
      <w:proofErr w:type="spellStart"/>
      <w:r w:rsidRPr="00227D58">
        <w:rPr>
          <w:sz w:val="24"/>
          <w:szCs w:val="24"/>
        </w:rPr>
        <w:t>Γεμέλειο</w:t>
      </w:r>
      <w:proofErr w:type="spellEnd"/>
      <w:r w:rsidRPr="00227D58">
        <w:rPr>
          <w:sz w:val="24"/>
          <w:szCs w:val="24"/>
        </w:rPr>
        <w:t xml:space="preserve">. </w:t>
      </w:r>
    </w:p>
    <w:p w14:paraId="314E73D7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29BEC0AB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Θα πρέπει να τοποθετηθούν στις Ταράτσες του Παθολογικού και του Ευεργετών  και στο </w:t>
      </w:r>
      <w:proofErr w:type="spellStart"/>
      <w:r w:rsidRPr="00227D58">
        <w:rPr>
          <w:sz w:val="24"/>
          <w:szCs w:val="24"/>
        </w:rPr>
        <w:t>Γεμέλειο</w:t>
      </w:r>
      <w:proofErr w:type="spellEnd"/>
      <w:r w:rsidRPr="00227D58">
        <w:rPr>
          <w:sz w:val="24"/>
          <w:szCs w:val="24"/>
        </w:rPr>
        <w:t xml:space="preserve"> στο πλάι του κτηρίου στους ήδη υπάρχοντες Ιστούς χωρίς να πειραχτούν οι προηγούμενες κεραίες και καλωδιώσεις.</w:t>
      </w:r>
    </w:p>
    <w:p w14:paraId="15F2377E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0847884F" w14:textId="0D56FA0A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Θα πρέπει να γίνει νέα καλωδίωση</w:t>
      </w:r>
      <w:r w:rsidR="00177146" w:rsidRPr="00177146">
        <w:rPr>
          <w:sz w:val="24"/>
          <w:szCs w:val="24"/>
        </w:rPr>
        <w:t xml:space="preserve"> </w:t>
      </w:r>
      <w:r w:rsidRPr="00227D58">
        <w:rPr>
          <w:sz w:val="24"/>
          <w:szCs w:val="24"/>
        </w:rPr>
        <w:t>σε κάθε αναμεταδότη με καλώδιο κατηγορίας 6 εξωτερικής εγκατάστασης (</w:t>
      </w:r>
      <w:r w:rsidRPr="00227D58">
        <w:rPr>
          <w:sz w:val="24"/>
          <w:szCs w:val="24"/>
          <w:lang w:val="en-US"/>
        </w:rPr>
        <w:t>shielded</w:t>
      </w:r>
      <w:r w:rsidRPr="00227D58">
        <w:rPr>
          <w:sz w:val="24"/>
          <w:szCs w:val="24"/>
        </w:rPr>
        <w:t xml:space="preserve">). </w:t>
      </w:r>
    </w:p>
    <w:p w14:paraId="3B4506A2" w14:textId="77777777" w:rsidR="002B7376" w:rsidRPr="002B7376" w:rsidRDefault="002B7376" w:rsidP="002B7376">
      <w:pPr>
        <w:ind w:right="84"/>
        <w:jc w:val="both"/>
        <w:rPr>
          <w:sz w:val="24"/>
          <w:szCs w:val="24"/>
        </w:rPr>
      </w:pPr>
    </w:p>
    <w:p w14:paraId="621C36B6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Οι καλωδιώσεις θα διέρχονται μέσα από σωλήνα </w:t>
      </w:r>
      <w:r w:rsidRPr="00227D58">
        <w:rPr>
          <w:sz w:val="24"/>
          <w:szCs w:val="24"/>
          <w:lang w:val="en-US"/>
        </w:rPr>
        <w:t>spiral</w:t>
      </w:r>
      <w:r w:rsidRPr="00227D58">
        <w:rPr>
          <w:sz w:val="24"/>
          <w:szCs w:val="24"/>
        </w:rPr>
        <w:t xml:space="preserve">  εξωτερικής εγκατάστασης  καθ’ όλη τη διαδρομή τους ο οποίος θα στερεώνεται σε διάφορα σημεία ώστε να μην είναι εκτεθειμένο.</w:t>
      </w:r>
    </w:p>
    <w:p w14:paraId="6F6BD75B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1731A5D6" w14:textId="42B8383F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Η διαδρομή των καλωδιώσεων θα ξεκινάει από τα </w:t>
      </w:r>
      <w:r w:rsidRPr="00227D58">
        <w:rPr>
          <w:sz w:val="24"/>
          <w:szCs w:val="24"/>
          <w:lang w:val="en-US"/>
        </w:rPr>
        <w:t>rack</w:t>
      </w:r>
      <w:r w:rsidRPr="00227D58">
        <w:rPr>
          <w:sz w:val="24"/>
          <w:szCs w:val="24"/>
        </w:rPr>
        <w:t xml:space="preserve"> του κάθε κτηρίου στα οποία θα τερματιστούν από την μια πλευρά σε </w:t>
      </w:r>
      <w:r w:rsidR="00177146" w:rsidRPr="00177146">
        <w:rPr>
          <w:sz w:val="24"/>
          <w:szCs w:val="24"/>
        </w:rPr>
        <w:t xml:space="preserve"> </w:t>
      </w:r>
      <w:r w:rsidR="00177146">
        <w:rPr>
          <w:sz w:val="24"/>
          <w:szCs w:val="24"/>
          <w:lang w:val="en-US"/>
        </w:rPr>
        <w:t>essential</w:t>
      </w:r>
      <w:r w:rsidR="00177146" w:rsidRPr="00177146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keystone</w:t>
      </w:r>
      <w:r w:rsidRPr="00227D58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connector</w:t>
      </w:r>
      <w:r w:rsidR="00177146">
        <w:rPr>
          <w:sz w:val="24"/>
          <w:szCs w:val="24"/>
          <w:lang w:val="en-US"/>
        </w:rPr>
        <w:t>s</w:t>
      </w:r>
      <w:r w:rsidRPr="00227D58">
        <w:rPr>
          <w:sz w:val="24"/>
          <w:szCs w:val="24"/>
        </w:rPr>
        <w:t xml:space="preserve"> της </w:t>
      </w:r>
      <w:proofErr w:type="spellStart"/>
      <w:r w:rsidRPr="00227D58">
        <w:rPr>
          <w:sz w:val="24"/>
          <w:szCs w:val="24"/>
          <w:lang w:val="en-US"/>
        </w:rPr>
        <w:t>Nexans</w:t>
      </w:r>
      <w:proofErr w:type="spellEnd"/>
      <w:r w:rsidRPr="00227D58">
        <w:rPr>
          <w:sz w:val="24"/>
          <w:szCs w:val="24"/>
        </w:rPr>
        <w:t xml:space="preserve">  και θα τοποθετηθούν σε υφιστάμενα </w:t>
      </w:r>
      <w:r w:rsidRPr="00227D58">
        <w:rPr>
          <w:sz w:val="24"/>
          <w:szCs w:val="24"/>
          <w:lang w:val="en-US"/>
        </w:rPr>
        <w:t>patch</w:t>
      </w:r>
      <w:r w:rsidRPr="00227D58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panel</w:t>
      </w:r>
      <w:r w:rsidRPr="00227D58">
        <w:rPr>
          <w:sz w:val="24"/>
          <w:szCs w:val="24"/>
        </w:rPr>
        <w:t xml:space="preserve"> της </w:t>
      </w:r>
      <w:proofErr w:type="spellStart"/>
      <w:r w:rsidRPr="00227D58">
        <w:rPr>
          <w:sz w:val="24"/>
          <w:szCs w:val="24"/>
          <w:lang w:val="en-US"/>
        </w:rPr>
        <w:t>Nexans</w:t>
      </w:r>
      <w:proofErr w:type="spellEnd"/>
      <w:r w:rsidRPr="00227D58">
        <w:rPr>
          <w:sz w:val="24"/>
          <w:szCs w:val="24"/>
        </w:rPr>
        <w:t xml:space="preserve"> όπου και θα σηματοδοτηθούν.</w:t>
      </w:r>
    </w:p>
    <w:p w14:paraId="66B3CC3F" w14:textId="77777777" w:rsidR="002B7376" w:rsidRPr="002B7376" w:rsidRDefault="002B7376" w:rsidP="002B7376">
      <w:pPr>
        <w:ind w:right="84"/>
        <w:jc w:val="both"/>
        <w:rPr>
          <w:sz w:val="24"/>
          <w:szCs w:val="24"/>
        </w:rPr>
      </w:pPr>
    </w:p>
    <w:p w14:paraId="1AAF6DFF" w14:textId="3EE06CBC" w:rsidR="002B7376" w:rsidRPr="007B0471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Οι καλωδιώσεις από την άλλη τους πλευρά θα τερματιστούν στα κουτιά που βρίσκονται κάτω από τους ιστούς σε κάθε κτήριο πάλι σε </w:t>
      </w:r>
      <w:r w:rsidR="00177146">
        <w:rPr>
          <w:sz w:val="24"/>
          <w:szCs w:val="24"/>
          <w:lang w:val="en-US"/>
        </w:rPr>
        <w:t>essential</w:t>
      </w:r>
      <w:r w:rsidR="00177146" w:rsidRPr="00177146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keystone</w:t>
      </w:r>
      <w:r w:rsidRPr="00227D58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connectors</w:t>
      </w:r>
      <w:r w:rsidRPr="00227D58">
        <w:rPr>
          <w:sz w:val="24"/>
          <w:szCs w:val="24"/>
        </w:rPr>
        <w:t xml:space="preserve"> όπου και θα σηματοδοτηθούν και εκεί .</w:t>
      </w:r>
    </w:p>
    <w:p w14:paraId="77D0A686" w14:textId="32CC31F0" w:rsidR="00E150C3" w:rsidRPr="007B0471" w:rsidRDefault="00E150C3" w:rsidP="002B7376">
      <w:pPr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Οι καλωδιώσεις θα πιστοποιηθούν και οι πιστοποιήσεις θα παραδοθούν στο τμήμα πληροφορικής.</w:t>
      </w:r>
    </w:p>
    <w:p w14:paraId="571B92B2" w14:textId="77777777" w:rsidR="002B7376" w:rsidRPr="002B7376" w:rsidRDefault="002B7376" w:rsidP="002B7376">
      <w:pPr>
        <w:ind w:right="84"/>
        <w:jc w:val="both"/>
        <w:rPr>
          <w:sz w:val="24"/>
          <w:szCs w:val="24"/>
        </w:rPr>
      </w:pPr>
    </w:p>
    <w:p w14:paraId="230D9D58" w14:textId="1601AD02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Από το κουτί κάτω από τους ιστούς όπου θα έχουν τερματιστεί οι καλωδιώσεις θα ενώνονται με τους αναμεταδότες με </w:t>
      </w:r>
      <w:r w:rsidRPr="00227D58">
        <w:rPr>
          <w:sz w:val="24"/>
          <w:szCs w:val="24"/>
          <w:lang w:val="en-US"/>
        </w:rPr>
        <w:t>patch</w:t>
      </w:r>
      <w:r w:rsidRPr="00227D58">
        <w:rPr>
          <w:sz w:val="24"/>
          <w:szCs w:val="24"/>
        </w:rPr>
        <w:t xml:space="preserve"> </w:t>
      </w:r>
      <w:r w:rsidRPr="00227D58">
        <w:rPr>
          <w:sz w:val="24"/>
          <w:szCs w:val="24"/>
          <w:lang w:val="en-US"/>
        </w:rPr>
        <w:t>cord</w:t>
      </w:r>
      <w:r w:rsidRPr="00227D58">
        <w:rPr>
          <w:sz w:val="24"/>
          <w:szCs w:val="24"/>
        </w:rPr>
        <w:t xml:space="preserve"> κατηγορίας 6 μήκους μικρότερου των 3 μέτρων. </w:t>
      </w:r>
    </w:p>
    <w:p w14:paraId="5C5A0120" w14:textId="77777777" w:rsidR="002B7376" w:rsidRPr="002B7376" w:rsidRDefault="002B7376" w:rsidP="002B7376">
      <w:pPr>
        <w:ind w:right="84"/>
        <w:jc w:val="both"/>
        <w:rPr>
          <w:sz w:val="24"/>
          <w:szCs w:val="24"/>
        </w:rPr>
      </w:pPr>
    </w:p>
    <w:p w14:paraId="03E9FF65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Όλες οι καλωδιώσεις δεν θα πρέπει να ξεπερνάνε τα 40</w:t>
      </w:r>
      <w:r w:rsidRPr="00227D58">
        <w:rPr>
          <w:sz w:val="24"/>
          <w:szCs w:val="24"/>
          <w:lang w:val="en-US"/>
        </w:rPr>
        <w:t>m</w:t>
      </w:r>
      <w:r w:rsidRPr="00227D58">
        <w:rPr>
          <w:sz w:val="24"/>
          <w:szCs w:val="24"/>
        </w:rPr>
        <w:t xml:space="preserve"> η κάθε μία.</w:t>
      </w:r>
    </w:p>
    <w:p w14:paraId="42F78634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2CE461CB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Θα πρέπει η ανάδοχος εταιρεία αφού συνδέσει και ελέγξει ότι είναι πλήρως λειτουργικές οι διασυνδέσεις και με ταχύτητες μεγαλύτερες των 400</w:t>
      </w:r>
      <w:r w:rsidRPr="00227D58">
        <w:rPr>
          <w:sz w:val="24"/>
          <w:szCs w:val="24"/>
          <w:lang w:val="en-US"/>
        </w:rPr>
        <w:t>Mbps</w:t>
      </w:r>
      <w:r w:rsidRPr="00227D58">
        <w:rPr>
          <w:sz w:val="24"/>
          <w:szCs w:val="24"/>
        </w:rPr>
        <w:t xml:space="preserve"> να παραδώσει στο Τμήμα πληροφορικής τα αρχεία </w:t>
      </w:r>
      <w:proofErr w:type="spellStart"/>
      <w:r w:rsidRPr="00227D58">
        <w:rPr>
          <w:sz w:val="24"/>
          <w:szCs w:val="24"/>
        </w:rPr>
        <w:t>παραμετροποίησης</w:t>
      </w:r>
      <w:proofErr w:type="spellEnd"/>
      <w:r w:rsidRPr="00227D58">
        <w:rPr>
          <w:sz w:val="24"/>
          <w:szCs w:val="24"/>
        </w:rPr>
        <w:t xml:space="preserve"> για κάθε διασύνδεση.</w:t>
      </w:r>
    </w:p>
    <w:p w14:paraId="5088679C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1BFBB4B9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Οι αποστάσεις μεταξύ των κτηρίων δεν ξεπερνά καμία τα 100 μέτρα και έχουν οπτική επαφή μεταξύ τους.</w:t>
      </w:r>
    </w:p>
    <w:p w14:paraId="2250EA03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p w14:paraId="152E2F89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p w14:paraId="3E01714A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p w14:paraId="58640164" w14:textId="77777777" w:rsidR="002B7376" w:rsidRPr="00227D58" w:rsidRDefault="002B7376" w:rsidP="002B7376">
      <w:pPr>
        <w:ind w:right="84"/>
        <w:rPr>
          <w:b/>
          <w:bCs/>
          <w:sz w:val="24"/>
          <w:szCs w:val="24"/>
        </w:rPr>
      </w:pPr>
      <w:r w:rsidRPr="00227D58">
        <w:rPr>
          <w:b/>
          <w:bCs/>
          <w:sz w:val="24"/>
          <w:szCs w:val="24"/>
        </w:rPr>
        <w:t>Το κάθε σετ αναμεταδοτών θα πρέπει να έχει τις παρακάτω τεχνικές προδιαγραφές.</w:t>
      </w:r>
    </w:p>
    <w:p w14:paraId="0F964D8C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004"/>
      </w:tblGrid>
      <w:tr w:rsidR="002B7376" w:rsidRPr="00227D58" w14:paraId="1B701227" w14:textId="77777777" w:rsidTr="008074D1">
        <w:trPr>
          <w:gridAfter w:val="1"/>
          <w:wAfter w:w="5004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150" w:type="dxa"/>
            </w:tcMar>
            <w:vAlign w:val="center"/>
            <w:hideMark/>
          </w:tcPr>
          <w:p w14:paraId="14299CC6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60" w:lineRule="atLeast"/>
              <w:rPr>
                <w:b/>
                <w:bCs/>
                <w:sz w:val="24"/>
                <w:szCs w:val="24"/>
              </w:rPr>
            </w:pPr>
            <w:r w:rsidRPr="00227D58">
              <w:rPr>
                <w:b/>
                <w:bCs/>
                <w:sz w:val="24"/>
                <w:szCs w:val="24"/>
              </w:rPr>
              <w:lastRenderedPageBreak/>
              <w:t>Μηχανισμός</w:t>
            </w:r>
          </w:p>
        </w:tc>
      </w:tr>
      <w:tr w:rsidR="002B7376" w:rsidRPr="00227D58" w14:paraId="57D2E6E1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5751AD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 xml:space="preserve">Διαστάσεις 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689283B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 ≤ Ø140 x 90 </w:t>
            </w:r>
            <w:proofErr w:type="spellStart"/>
            <w:r w:rsidRPr="00227D58">
              <w:rPr>
                <w:sz w:val="21"/>
                <w:szCs w:val="21"/>
              </w:rPr>
              <w:t>mm</w:t>
            </w:r>
            <w:proofErr w:type="spellEnd"/>
            <w:r w:rsidRPr="00227D58">
              <w:rPr>
                <w:sz w:val="21"/>
                <w:szCs w:val="21"/>
              </w:rPr>
              <w:t xml:space="preserve"> (Ø5,5 x 3,5")</w:t>
            </w:r>
          </w:p>
        </w:tc>
      </w:tr>
      <w:tr w:rsidR="002B7376" w:rsidRPr="00227D58" w14:paraId="755C334D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0F02DD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Βάρος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91A69D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 ≤ 376 g (13,3 </w:t>
            </w:r>
            <w:proofErr w:type="spellStart"/>
            <w:r w:rsidRPr="00227D58">
              <w:rPr>
                <w:sz w:val="21"/>
                <w:szCs w:val="21"/>
              </w:rPr>
              <w:t>oz</w:t>
            </w:r>
            <w:proofErr w:type="spellEnd"/>
            <w:r w:rsidRPr="00227D58">
              <w:rPr>
                <w:sz w:val="21"/>
                <w:szCs w:val="21"/>
              </w:rPr>
              <w:t>)</w:t>
            </w:r>
          </w:p>
        </w:tc>
      </w:tr>
      <w:tr w:rsidR="002B7376" w:rsidRPr="00227D58" w14:paraId="695D490F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6D290004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Υλικό περιβλήματος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8F27AC9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 </w:t>
            </w:r>
            <w:proofErr w:type="spellStart"/>
            <w:r w:rsidRPr="00227D58">
              <w:rPr>
                <w:sz w:val="21"/>
                <w:szCs w:val="21"/>
              </w:rPr>
              <w:t>Πολυανθρακικό</w:t>
            </w:r>
            <w:proofErr w:type="spellEnd"/>
            <w:r w:rsidRPr="00227D58">
              <w:rPr>
                <w:sz w:val="21"/>
                <w:szCs w:val="21"/>
              </w:rPr>
              <w:t xml:space="preserve"> ανθεκτικό στην υπεριώδη  ακτινοβολία</w:t>
            </w:r>
          </w:p>
        </w:tc>
      </w:tr>
      <w:tr w:rsidR="002B7376" w:rsidRPr="00227D58" w14:paraId="7BA80D07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AC8AEB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Φόρτωση ανέμου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FE2D23C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56 N στα 200 </w:t>
            </w:r>
            <w:proofErr w:type="spellStart"/>
            <w:r w:rsidRPr="00227D58">
              <w:rPr>
                <w:sz w:val="21"/>
                <w:szCs w:val="21"/>
              </w:rPr>
              <w:t>km</w:t>
            </w:r>
            <w:proofErr w:type="spellEnd"/>
            <w:r w:rsidRPr="00227D58">
              <w:rPr>
                <w:sz w:val="21"/>
                <w:szCs w:val="21"/>
              </w:rPr>
              <w:t xml:space="preserve">/h (12,6 </w:t>
            </w:r>
            <w:proofErr w:type="spellStart"/>
            <w:r w:rsidRPr="00227D58">
              <w:rPr>
                <w:sz w:val="21"/>
                <w:szCs w:val="21"/>
              </w:rPr>
              <w:t>lbf</w:t>
            </w:r>
            <w:proofErr w:type="spellEnd"/>
            <w:r w:rsidRPr="00227D58">
              <w:rPr>
                <w:sz w:val="21"/>
                <w:szCs w:val="21"/>
              </w:rPr>
              <w:t xml:space="preserve"> στα 125 </w:t>
            </w:r>
            <w:proofErr w:type="spellStart"/>
            <w:r w:rsidRPr="00227D58">
              <w:rPr>
                <w:sz w:val="21"/>
                <w:szCs w:val="21"/>
              </w:rPr>
              <w:t>mph</w:t>
            </w:r>
            <w:proofErr w:type="spellEnd"/>
            <w:r w:rsidRPr="00227D58">
              <w:rPr>
                <w:sz w:val="21"/>
                <w:szCs w:val="21"/>
              </w:rPr>
              <w:t>)</w:t>
            </w:r>
          </w:p>
        </w:tc>
      </w:tr>
      <w:tr w:rsidR="002B7376" w:rsidRPr="00227D58" w14:paraId="6D1EF3F7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908BF7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proofErr w:type="spellStart"/>
            <w:r w:rsidRPr="00227D58">
              <w:rPr>
                <w:b/>
                <w:bCs/>
                <w:sz w:val="21"/>
                <w:szCs w:val="21"/>
              </w:rPr>
              <w:t>Διεπαφή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t xml:space="preserve"> δικτύου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FA58CF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(1) Θύρα </w:t>
            </w:r>
            <w:proofErr w:type="spellStart"/>
            <w:r w:rsidRPr="00227D58">
              <w:rPr>
                <w:sz w:val="21"/>
                <w:szCs w:val="21"/>
              </w:rPr>
              <w:t>GbE</w:t>
            </w:r>
            <w:proofErr w:type="spellEnd"/>
            <w:r w:rsidRPr="00227D58">
              <w:rPr>
                <w:sz w:val="21"/>
                <w:szCs w:val="21"/>
              </w:rPr>
              <w:t xml:space="preserve"> RJ45</w:t>
            </w:r>
          </w:p>
        </w:tc>
      </w:tr>
      <w:tr w:rsidR="002B7376" w:rsidRPr="00227D58" w14:paraId="0AEA3E01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782490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proofErr w:type="spellStart"/>
            <w:r w:rsidRPr="00227D58">
              <w:rPr>
                <w:b/>
                <w:bCs/>
                <w:sz w:val="21"/>
                <w:szCs w:val="21"/>
              </w:rPr>
              <w:t>Διεπαφή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t xml:space="preserve"> διαχείρισης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C39A7E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proofErr w:type="spellStart"/>
            <w:r w:rsidRPr="00227D58">
              <w:rPr>
                <w:sz w:val="21"/>
                <w:szCs w:val="21"/>
              </w:rPr>
              <w:t>Ethernet</w:t>
            </w:r>
            <w:proofErr w:type="spellEnd"/>
            <w:r w:rsidRPr="00227D58">
              <w:rPr>
                <w:sz w:val="21"/>
                <w:szCs w:val="21"/>
              </w:rPr>
              <w:br/>
            </w:r>
            <w:proofErr w:type="spellStart"/>
            <w:r w:rsidRPr="00227D58">
              <w:rPr>
                <w:sz w:val="21"/>
                <w:szCs w:val="21"/>
              </w:rPr>
              <w:t>Bluetooth</w:t>
            </w:r>
            <w:proofErr w:type="spellEnd"/>
          </w:p>
        </w:tc>
      </w:tr>
      <w:tr w:rsidR="002B7376" w:rsidRPr="00227D58" w14:paraId="28B9FE58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75968FB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Μέθοδος ισχύος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C1D3D0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proofErr w:type="spellStart"/>
            <w:r w:rsidRPr="00227D58">
              <w:rPr>
                <w:sz w:val="21"/>
                <w:szCs w:val="21"/>
              </w:rPr>
              <w:t>PoE</w:t>
            </w:r>
            <w:proofErr w:type="spellEnd"/>
            <w:r w:rsidRPr="00227D58">
              <w:rPr>
                <w:sz w:val="21"/>
                <w:szCs w:val="21"/>
              </w:rPr>
              <w:br/>
              <w:t xml:space="preserve">Παθητικό </w:t>
            </w:r>
            <w:proofErr w:type="spellStart"/>
            <w:r w:rsidRPr="00227D58">
              <w:rPr>
                <w:sz w:val="21"/>
                <w:szCs w:val="21"/>
              </w:rPr>
              <w:t>PoE</w:t>
            </w:r>
            <w:proofErr w:type="spellEnd"/>
            <w:r w:rsidRPr="00227D58">
              <w:rPr>
                <w:sz w:val="21"/>
                <w:szCs w:val="21"/>
              </w:rPr>
              <w:t>, 48V</w:t>
            </w:r>
          </w:p>
        </w:tc>
      </w:tr>
      <w:tr w:rsidR="002B7376" w:rsidRPr="00227D58" w14:paraId="195975A3" w14:textId="77777777" w:rsidTr="00177146">
        <w:trPr>
          <w:trHeight w:val="584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25F4B8A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Τροφοδοτικό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CE1B13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proofErr w:type="spellStart"/>
            <w:r w:rsidRPr="00227D58">
              <w:rPr>
                <w:sz w:val="21"/>
                <w:szCs w:val="21"/>
              </w:rPr>
              <w:t>PoE</w:t>
            </w:r>
            <w:proofErr w:type="spellEnd"/>
            <w:r w:rsidRPr="00227D58">
              <w:rPr>
                <w:sz w:val="21"/>
                <w:szCs w:val="21"/>
              </w:rPr>
              <w:t xml:space="preserve"> 48V, </w:t>
            </w:r>
            <w:proofErr w:type="spellStart"/>
            <w:r w:rsidRPr="00227D58">
              <w:rPr>
                <w:sz w:val="21"/>
                <w:szCs w:val="21"/>
              </w:rPr>
              <w:t>Προσαρμογέας</w:t>
            </w:r>
            <w:proofErr w:type="spellEnd"/>
            <w:r w:rsidRPr="00227D58">
              <w:rPr>
                <w:sz w:val="21"/>
                <w:szCs w:val="21"/>
              </w:rPr>
              <w:t xml:space="preserve"> </w:t>
            </w:r>
            <w:proofErr w:type="spellStart"/>
            <w:r w:rsidRPr="00227D58">
              <w:rPr>
                <w:sz w:val="21"/>
                <w:szCs w:val="21"/>
              </w:rPr>
              <w:t>PoE</w:t>
            </w:r>
            <w:proofErr w:type="spellEnd"/>
            <w:r w:rsidRPr="00227D58">
              <w:rPr>
                <w:sz w:val="21"/>
                <w:szCs w:val="21"/>
              </w:rPr>
              <w:t xml:space="preserve"> 0,32A </w:t>
            </w:r>
            <w:proofErr w:type="spellStart"/>
            <w:r w:rsidRPr="00227D58">
              <w:rPr>
                <w:sz w:val="21"/>
                <w:szCs w:val="21"/>
              </w:rPr>
              <w:t>Gigabit</w:t>
            </w:r>
            <w:proofErr w:type="spellEnd"/>
            <w:r w:rsidRPr="00227D58">
              <w:rPr>
                <w:sz w:val="21"/>
                <w:szCs w:val="21"/>
              </w:rPr>
              <w:t xml:space="preserve"> (να Περιλαμβάνεται)</w:t>
            </w:r>
          </w:p>
        </w:tc>
      </w:tr>
      <w:tr w:rsidR="002B7376" w:rsidRPr="00227D58" w14:paraId="7B92F268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802BE17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proofErr w:type="spellStart"/>
            <w:r w:rsidRPr="00227D58">
              <w:rPr>
                <w:b/>
                <w:bCs/>
                <w:sz w:val="21"/>
                <w:szCs w:val="21"/>
              </w:rPr>
              <w:t>Μέγ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t>. κατανάλωση ρεύματος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C4343F5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11W</w:t>
            </w:r>
          </w:p>
        </w:tc>
      </w:tr>
      <w:tr w:rsidR="002B7376" w:rsidRPr="00227D58" w14:paraId="0D3F8F48" w14:textId="77777777" w:rsidTr="00177146">
        <w:trPr>
          <w:trHeight w:val="1469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F6A68E8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proofErr w:type="spellStart"/>
            <w:r w:rsidRPr="00227D58">
              <w:rPr>
                <w:b/>
                <w:bCs/>
                <w:sz w:val="21"/>
                <w:szCs w:val="21"/>
              </w:rPr>
              <w:t>Μέγ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t>. Ισχύς TX</w:t>
            </w:r>
            <w:r w:rsidRPr="00227D58">
              <w:rPr>
                <w:b/>
                <w:bCs/>
                <w:sz w:val="21"/>
                <w:szCs w:val="21"/>
              </w:rPr>
              <w:br/>
              <w:t xml:space="preserve">2,4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5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6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047602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br/>
              <w:t>–</w:t>
            </w:r>
            <w:r w:rsidRPr="00227D58">
              <w:rPr>
                <w:sz w:val="21"/>
                <w:szCs w:val="21"/>
              </w:rPr>
              <w:br/>
              <w:t xml:space="preserve">25 </w:t>
            </w:r>
            <w:proofErr w:type="spellStart"/>
            <w:r w:rsidRPr="00227D58">
              <w:rPr>
                <w:sz w:val="21"/>
                <w:szCs w:val="21"/>
              </w:rPr>
              <w:t>dBm</w:t>
            </w:r>
            <w:proofErr w:type="spellEnd"/>
            <w:r w:rsidRPr="00227D58">
              <w:rPr>
                <w:sz w:val="21"/>
                <w:szCs w:val="21"/>
              </w:rPr>
              <w:br/>
              <w:t>–</w:t>
            </w:r>
            <w:r w:rsidRPr="00227D58">
              <w:rPr>
                <w:sz w:val="21"/>
                <w:szCs w:val="21"/>
              </w:rPr>
              <w:br/>
              <w:t xml:space="preserve">32–36,5 </w:t>
            </w:r>
            <w:proofErr w:type="spellStart"/>
            <w:r w:rsidRPr="00227D58">
              <w:rPr>
                <w:sz w:val="21"/>
                <w:szCs w:val="21"/>
              </w:rPr>
              <w:t>dBm</w:t>
            </w:r>
            <w:proofErr w:type="spellEnd"/>
            <w:r w:rsidRPr="00227D58">
              <w:rPr>
                <w:sz w:val="21"/>
                <w:szCs w:val="21"/>
              </w:rPr>
              <w:t xml:space="preserve"> (60 </w:t>
            </w:r>
            <w:proofErr w:type="spellStart"/>
            <w:r w:rsidRPr="00227D58">
              <w:rPr>
                <w:sz w:val="21"/>
                <w:szCs w:val="21"/>
              </w:rPr>
              <w:t>GHz</w:t>
            </w:r>
            <w:proofErr w:type="spellEnd"/>
            <w:r w:rsidRPr="00227D58">
              <w:rPr>
                <w:sz w:val="21"/>
                <w:szCs w:val="21"/>
              </w:rPr>
              <w:t>)</w:t>
            </w:r>
          </w:p>
        </w:tc>
      </w:tr>
      <w:tr w:rsidR="002B7376" w:rsidRPr="00227D58" w14:paraId="7DD1D97C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A6886F6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MIMO</w:t>
            </w:r>
            <w:r w:rsidRPr="00227D58">
              <w:rPr>
                <w:b/>
                <w:bCs/>
                <w:sz w:val="21"/>
                <w:szCs w:val="21"/>
              </w:rPr>
              <w:br/>
              <w:t xml:space="preserve">2,4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5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6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70E61FB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br/>
              <w:t>–</w:t>
            </w:r>
            <w:r w:rsidRPr="00227D58">
              <w:rPr>
                <w:sz w:val="21"/>
                <w:szCs w:val="21"/>
              </w:rPr>
              <w:br/>
              <w:t>2 x 2</w:t>
            </w:r>
            <w:r w:rsidRPr="00227D58">
              <w:rPr>
                <w:sz w:val="21"/>
                <w:szCs w:val="21"/>
              </w:rPr>
              <w:br/>
              <w:t>–</w:t>
            </w:r>
          </w:p>
        </w:tc>
      </w:tr>
      <w:tr w:rsidR="002B7376" w:rsidRPr="00227D58" w14:paraId="28325EF0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6915B4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proofErr w:type="spellStart"/>
            <w:r w:rsidRPr="00227D58">
              <w:rPr>
                <w:b/>
                <w:bCs/>
                <w:sz w:val="21"/>
                <w:szCs w:val="21"/>
              </w:rPr>
              <w:t>Μέγ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t>. Ρυθμός δεδομένων</w:t>
            </w:r>
            <w:r w:rsidRPr="00227D58">
              <w:rPr>
                <w:b/>
                <w:bCs/>
                <w:sz w:val="21"/>
                <w:szCs w:val="21"/>
              </w:rPr>
              <w:br/>
              <w:t xml:space="preserve">2,4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5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6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16704DD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br/>
              <w:t>–</w:t>
            </w:r>
            <w:r w:rsidRPr="00227D58">
              <w:rPr>
                <w:sz w:val="21"/>
                <w:szCs w:val="21"/>
              </w:rPr>
              <w:br/>
              <w:t xml:space="preserve">866,6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  <w:r w:rsidRPr="00227D58">
              <w:rPr>
                <w:sz w:val="21"/>
                <w:szCs w:val="21"/>
              </w:rPr>
              <w:t xml:space="preserve"> (BW80)</w:t>
            </w:r>
            <w:r w:rsidRPr="00227D58">
              <w:rPr>
                <w:sz w:val="21"/>
                <w:szCs w:val="21"/>
              </w:rPr>
              <w:br/>
              <w:t>–</w:t>
            </w:r>
            <w:r w:rsidRPr="00227D58">
              <w:rPr>
                <w:sz w:val="21"/>
                <w:szCs w:val="21"/>
              </w:rPr>
              <w:br/>
              <w:t xml:space="preserve">1,7 </w:t>
            </w:r>
            <w:proofErr w:type="spellStart"/>
            <w:r w:rsidRPr="00227D58">
              <w:rPr>
                <w:sz w:val="21"/>
                <w:szCs w:val="21"/>
              </w:rPr>
              <w:t>Gbps</w:t>
            </w:r>
            <w:proofErr w:type="spellEnd"/>
            <w:r w:rsidRPr="00227D58">
              <w:rPr>
                <w:sz w:val="21"/>
                <w:szCs w:val="21"/>
              </w:rPr>
              <w:t xml:space="preserve"> (60 </w:t>
            </w:r>
            <w:proofErr w:type="spellStart"/>
            <w:r w:rsidRPr="00227D58">
              <w:rPr>
                <w:sz w:val="21"/>
                <w:szCs w:val="21"/>
              </w:rPr>
              <w:t>GHz</w:t>
            </w:r>
            <w:proofErr w:type="spellEnd"/>
            <w:r w:rsidRPr="00227D58">
              <w:rPr>
                <w:sz w:val="21"/>
                <w:szCs w:val="21"/>
              </w:rPr>
              <w:t>)</w:t>
            </w:r>
          </w:p>
        </w:tc>
      </w:tr>
      <w:tr w:rsidR="002B7376" w:rsidRPr="00ED144B" w14:paraId="5D8B3489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F70F00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Απολαβή κεραίας</w:t>
            </w:r>
            <w:r w:rsidRPr="00227D58">
              <w:rPr>
                <w:b/>
                <w:bCs/>
                <w:sz w:val="21"/>
                <w:szCs w:val="21"/>
              </w:rPr>
              <w:br/>
              <w:t xml:space="preserve">2,4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5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  <w:r w:rsidRPr="00227D58">
              <w:rPr>
                <w:b/>
                <w:bCs/>
                <w:sz w:val="21"/>
                <w:szCs w:val="21"/>
              </w:rPr>
              <w:br/>
              <w:t xml:space="preserve">6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AB6453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  <w:lang w:val="en-US"/>
              </w:rPr>
            </w:pPr>
            <w:r w:rsidRPr="00ED144B">
              <w:rPr>
                <w:sz w:val="21"/>
                <w:szCs w:val="21"/>
                <w:lang w:val="en-US"/>
              </w:rPr>
              <w:br/>
            </w:r>
            <w:r w:rsidRPr="00227D58">
              <w:rPr>
                <w:sz w:val="21"/>
                <w:szCs w:val="21"/>
                <w:lang w:val="en-US"/>
              </w:rPr>
              <w:t xml:space="preserve">2 </w:t>
            </w:r>
            <w:proofErr w:type="spellStart"/>
            <w:r w:rsidRPr="00227D58">
              <w:rPr>
                <w:sz w:val="21"/>
                <w:szCs w:val="21"/>
                <w:lang w:val="en-US"/>
              </w:rPr>
              <w:t>dBi</w:t>
            </w:r>
            <w:proofErr w:type="spellEnd"/>
            <w:r w:rsidRPr="00227D58">
              <w:rPr>
                <w:sz w:val="21"/>
                <w:szCs w:val="21"/>
                <w:lang w:val="en-US"/>
              </w:rPr>
              <w:t xml:space="preserve"> (BLE)</w:t>
            </w:r>
            <w:r w:rsidRPr="00227D58">
              <w:rPr>
                <w:sz w:val="21"/>
                <w:szCs w:val="21"/>
                <w:lang w:val="en-US"/>
              </w:rPr>
              <w:br/>
              <w:t xml:space="preserve">10 </w:t>
            </w:r>
            <w:proofErr w:type="spellStart"/>
            <w:r w:rsidRPr="00227D58">
              <w:rPr>
                <w:sz w:val="21"/>
                <w:szCs w:val="21"/>
                <w:lang w:val="en-US"/>
              </w:rPr>
              <w:t>dBi</w:t>
            </w:r>
            <w:proofErr w:type="spellEnd"/>
            <w:r w:rsidRPr="00227D58">
              <w:rPr>
                <w:sz w:val="21"/>
                <w:szCs w:val="21"/>
                <w:lang w:val="en-US"/>
              </w:rPr>
              <w:br/>
              <w:t>–</w:t>
            </w:r>
            <w:r w:rsidRPr="00227D58">
              <w:rPr>
                <w:sz w:val="21"/>
                <w:szCs w:val="21"/>
                <w:lang w:val="en-US"/>
              </w:rPr>
              <w:br/>
              <w:t xml:space="preserve">17,2 </w:t>
            </w:r>
            <w:proofErr w:type="spellStart"/>
            <w:r w:rsidRPr="00227D58">
              <w:rPr>
                <w:sz w:val="21"/>
                <w:szCs w:val="21"/>
                <w:lang w:val="en-US"/>
              </w:rPr>
              <w:t>dBi</w:t>
            </w:r>
            <w:proofErr w:type="spellEnd"/>
            <w:r w:rsidRPr="00227D58">
              <w:rPr>
                <w:sz w:val="21"/>
                <w:szCs w:val="21"/>
                <w:lang w:val="en-US"/>
              </w:rPr>
              <w:t xml:space="preserve"> (60 GHz)</w:t>
            </w:r>
          </w:p>
        </w:tc>
      </w:tr>
      <w:tr w:rsidR="002B7376" w:rsidRPr="00227D58" w14:paraId="1EF57C30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06B63E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 xml:space="preserve">Εύρος δέσμης ανύψωσης 60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2E38F18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30°</w:t>
            </w:r>
          </w:p>
        </w:tc>
      </w:tr>
      <w:tr w:rsidR="002B7376" w:rsidRPr="00227D58" w14:paraId="6379F684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AAA09A4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lastRenderedPageBreak/>
              <w:t xml:space="preserve">Αζιμουθιακή κάλυψη 60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GHz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840A80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±60°</w:t>
            </w:r>
          </w:p>
        </w:tc>
      </w:tr>
      <w:tr w:rsidR="002B7376" w:rsidRPr="00227D58" w14:paraId="34C07EA8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8F32328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LED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298A36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R/G/B</w:t>
            </w:r>
          </w:p>
        </w:tc>
      </w:tr>
      <w:tr w:rsidR="002B7376" w:rsidRPr="00227D58" w14:paraId="1123AC14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7C7B246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Κουμπί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30EFD99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Επαναφορά εργοστασιακών ρυθμίσεων</w:t>
            </w:r>
          </w:p>
        </w:tc>
      </w:tr>
      <w:tr w:rsidR="002B7376" w:rsidRPr="00227D58" w14:paraId="476DE1F3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08D3869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Βάση για: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64B9D00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Στύλος (Συμπεριλαμβάνεται)</w:t>
            </w:r>
            <w:r w:rsidRPr="00227D58">
              <w:rPr>
                <w:sz w:val="21"/>
                <w:szCs w:val="21"/>
              </w:rPr>
              <w:br/>
              <w:t>Τοίχος (Προαιρετικό)</w:t>
            </w:r>
          </w:p>
        </w:tc>
      </w:tr>
      <w:tr w:rsidR="002B7376" w:rsidRPr="00227D58" w14:paraId="2D0F79D6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D81FF77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Θερμοκρασία λειτουργίας περιβάλλοντος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F32706A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-40 έως 70° C (-40 έως 158° F)</w:t>
            </w:r>
          </w:p>
        </w:tc>
      </w:tr>
      <w:tr w:rsidR="002B7376" w:rsidRPr="00227D58" w14:paraId="0F2345D7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5C1CCBA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Υγρασία λειτουργίας περιβάλλοντος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6D7C81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5 έως 95% χωρίς συμπύκνωση</w:t>
            </w:r>
          </w:p>
        </w:tc>
      </w:tr>
      <w:tr w:rsidR="002B7376" w:rsidRPr="00227D58" w14:paraId="5B3108BD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73B00C7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Πιστοποιήσεις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D99AA9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CE, FCC, IC</w:t>
            </w:r>
          </w:p>
        </w:tc>
      </w:tr>
      <w:tr w:rsidR="002B7376" w:rsidRPr="00227D58" w14:paraId="4919D9B5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3291DD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 xml:space="preserve">Πρότυπα </w:t>
            </w:r>
            <w:proofErr w:type="spellStart"/>
            <w:r w:rsidRPr="00227D58">
              <w:rPr>
                <w:b/>
                <w:bCs/>
                <w:sz w:val="21"/>
                <w:szCs w:val="21"/>
              </w:rPr>
              <w:t>WiFi</w:t>
            </w:r>
            <w:proofErr w:type="spellEnd"/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B6B940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802.11a/b/g/n/</w:t>
            </w:r>
            <w:proofErr w:type="spellStart"/>
            <w:r w:rsidRPr="00227D58">
              <w:rPr>
                <w:sz w:val="21"/>
                <w:szCs w:val="21"/>
              </w:rPr>
              <w:t>ac</w:t>
            </w:r>
            <w:proofErr w:type="spellEnd"/>
          </w:p>
        </w:tc>
      </w:tr>
      <w:tr w:rsidR="002B7376" w:rsidRPr="00227D58" w14:paraId="7CD19751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FC1E272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Ασύρματη ασφάλεια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C192C9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WPA2 AES (Πάντα ενεργό)</w:t>
            </w:r>
          </w:p>
        </w:tc>
      </w:tr>
      <w:tr w:rsidR="002B7376" w:rsidRPr="00227D58" w14:paraId="6FFD29DF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FA6EA2D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Τρόποι λειτουργίας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1727B9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proofErr w:type="spellStart"/>
            <w:r w:rsidRPr="00227D58">
              <w:rPr>
                <w:sz w:val="21"/>
                <w:szCs w:val="21"/>
              </w:rPr>
              <w:t>PtP</w:t>
            </w:r>
            <w:proofErr w:type="spellEnd"/>
          </w:p>
        </w:tc>
      </w:tr>
      <w:tr w:rsidR="002B7376" w:rsidRPr="00227D58" w14:paraId="48992135" w14:textId="77777777" w:rsidTr="008074D1"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5E3C492B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60" w:lineRule="atLeast"/>
              <w:rPr>
                <w:b/>
                <w:bCs/>
                <w:sz w:val="24"/>
                <w:szCs w:val="24"/>
              </w:rPr>
            </w:pPr>
            <w:r w:rsidRPr="00227D58">
              <w:rPr>
                <w:b/>
                <w:bCs/>
                <w:sz w:val="24"/>
                <w:szCs w:val="24"/>
              </w:rPr>
              <w:t>Συχνότητα λειτουργίας (</w:t>
            </w:r>
            <w:proofErr w:type="spellStart"/>
            <w:r w:rsidRPr="00227D58">
              <w:rPr>
                <w:b/>
                <w:bCs/>
                <w:sz w:val="24"/>
                <w:szCs w:val="24"/>
              </w:rPr>
              <w:t>MHz</w:t>
            </w:r>
            <w:proofErr w:type="spellEnd"/>
            <w:r w:rsidRPr="00227D5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04" w:type="dxa"/>
            <w:vAlign w:val="center"/>
            <w:hideMark/>
          </w:tcPr>
          <w:p w14:paraId="49CFEBE2" w14:textId="77777777" w:rsidR="002B7376" w:rsidRPr="00227D58" w:rsidRDefault="002B7376" w:rsidP="008074D1">
            <w:pPr>
              <w:widowControl/>
              <w:autoSpaceDE/>
              <w:autoSpaceDN/>
              <w:adjustRightInd/>
            </w:pPr>
          </w:p>
        </w:tc>
      </w:tr>
      <w:tr w:rsidR="002B7376" w:rsidRPr="00227D58" w14:paraId="5390E216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59BBB82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Παγκόσμιος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275281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5150 - 5875</w:t>
            </w:r>
            <w:r w:rsidRPr="00227D58">
              <w:rPr>
                <w:sz w:val="21"/>
                <w:szCs w:val="21"/>
              </w:rPr>
              <w:br/>
              <w:t>57.000 - 66.000</w:t>
            </w:r>
          </w:p>
        </w:tc>
      </w:tr>
      <w:tr w:rsidR="002B7376" w:rsidRPr="00227D58" w14:paraId="7AB9EB03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83E420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ΗΠΑ/CA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776FC4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U-NII-1: 5150 - 5250</w:t>
            </w:r>
            <w:r w:rsidRPr="00227D58">
              <w:rPr>
                <w:sz w:val="21"/>
                <w:szCs w:val="21"/>
              </w:rPr>
              <w:br/>
              <w:t>U-NII-3: 5725 - 5850</w:t>
            </w:r>
            <w:r w:rsidRPr="00227D58">
              <w:rPr>
                <w:sz w:val="21"/>
                <w:szCs w:val="21"/>
              </w:rPr>
              <w:br/>
              <w:t>57.000 - 66.000</w:t>
            </w:r>
          </w:p>
        </w:tc>
      </w:tr>
      <w:tr w:rsidR="002B7376" w:rsidRPr="00227D58" w14:paraId="148B1D6E" w14:textId="77777777" w:rsidTr="008074D1"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4979D883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6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227D58">
              <w:rPr>
                <w:b/>
                <w:bCs/>
                <w:sz w:val="24"/>
                <w:szCs w:val="24"/>
              </w:rPr>
              <w:t>Bluetooth</w:t>
            </w:r>
            <w:proofErr w:type="spellEnd"/>
            <w:r w:rsidRPr="00227D58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27D58">
              <w:rPr>
                <w:b/>
                <w:bCs/>
                <w:sz w:val="24"/>
                <w:szCs w:val="24"/>
              </w:rPr>
              <w:t>MHz</w:t>
            </w:r>
            <w:proofErr w:type="spellEnd"/>
            <w:r w:rsidRPr="00227D5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04" w:type="dxa"/>
            <w:vAlign w:val="center"/>
            <w:hideMark/>
          </w:tcPr>
          <w:p w14:paraId="6273EE55" w14:textId="77777777" w:rsidR="002B7376" w:rsidRPr="00227D58" w:rsidRDefault="002B7376" w:rsidP="008074D1">
            <w:pPr>
              <w:widowControl/>
              <w:autoSpaceDE/>
              <w:autoSpaceDN/>
              <w:adjustRightInd/>
            </w:pPr>
          </w:p>
        </w:tc>
      </w:tr>
      <w:tr w:rsidR="002B7376" w:rsidRPr="00227D58" w14:paraId="59F61869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7F4C3AD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Παγκόσμιος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4039EF6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>2400 - 2483,5</w:t>
            </w:r>
          </w:p>
        </w:tc>
      </w:tr>
      <w:tr w:rsidR="002B7376" w:rsidRPr="00227D58" w14:paraId="1A6828A9" w14:textId="77777777" w:rsidTr="00177146">
        <w:trPr>
          <w:trHeight w:val="305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51135434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60" w:lineRule="atLeast"/>
              <w:rPr>
                <w:b/>
                <w:bCs/>
                <w:sz w:val="24"/>
                <w:szCs w:val="24"/>
              </w:rPr>
            </w:pPr>
            <w:r w:rsidRPr="00227D58">
              <w:rPr>
                <w:b/>
                <w:bCs/>
                <w:sz w:val="24"/>
                <w:szCs w:val="24"/>
              </w:rPr>
              <w:t>Υποστηριζόμενες ταχύτητες δεδομένων (</w:t>
            </w:r>
            <w:proofErr w:type="spellStart"/>
            <w:r w:rsidRPr="00227D58">
              <w:rPr>
                <w:b/>
                <w:bCs/>
                <w:sz w:val="24"/>
                <w:szCs w:val="24"/>
              </w:rPr>
              <w:t>Mbps</w:t>
            </w:r>
            <w:proofErr w:type="spellEnd"/>
            <w:r w:rsidRPr="00227D5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04" w:type="dxa"/>
            <w:vAlign w:val="center"/>
            <w:hideMark/>
          </w:tcPr>
          <w:p w14:paraId="6D92237B" w14:textId="77777777" w:rsidR="002B7376" w:rsidRPr="00177146" w:rsidRDefault="002B7376" w:rsidP="008074D1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2B7376" w:rsidRPr="00227D58" w14:paraId="0FEFE88A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8ECA25A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  <w:lang w:val="en-US"/>
              </w:rPr>
            </w:pPr>
            <w:r w:rsidRPr="00227D58">
              <w:rPr>
                <w:b/>
                <w:bCs/>
                <w:sz w:val="21"/>
                <w:szCs w:val="21"/>
              </w:rPr>
              <w:t>802.11</w:t>
            </w:r>
            <w:r w:rsidRPr="00227D58">
              <w:rPr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91D3110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6, 9, 12, 18, 24, 36, 48, 54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</w:p>
        </w:tc>
      </w:tr>
      <w:tr w:rsidR="002B7376" w:rsidRPr="00227D58" w14:paraId="3BB5F122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1B8B2A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  <w:lang w:val="en-US"/>
              </w:rPr>
            </w:pPr>
            <w:r w:rsidRPr="00227D58">
              <w:rPr>
                <w:b/>
                <w:bCs/>
                <w:sz w:val="21"/>
                <w:szCs w:val="21"/>
              </w:rPr>
              <w:t>802.11</w:t>
            </w:r>
            <w:r w:rsidRPr="00227D58">
              <w:rPr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25AB67B2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1, 2, 5,5, 11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</w:p>
        </w:tc>
      </w:tr>
      <w:tr w:rsidR="002B7376" w:rsidRPr="00227D58" w14:paraId="6CAE2689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4DF06B2F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  <w:lang w:val="en-US"/>
              </w:rPr>
            </w:pPr>
            <w:r w:rsidRPr="00227D58">
              <w:rPr>
                <w:b/>
                <w:bCs/>
                <w:sz w:val="21"/>
                <w:szCs w:val="21"/>
              </w:rPr>
              <w:t xml:space="preserve">802,11 </w:t>
            </w:r>
            <w:r w:rsidRPr="00227D58">
              <w:rPr>
                <w:b/>
                <w:bCs/>
                <w:sz w:val="21"/>
                <w:szCs w:val="21"/>
                <w:lang w:val="en-US"/>
              </w:rPr>
              <w:t>g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1B4CCF01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6, 9, 12, 18, 24, 36, 48, 54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</w:p>
        </w:tc>
      </w:tr>
      <w:tr w:rsidR="002B7376" w:rsidRPr="00227D58" w14:paraId="0412C94C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7009596A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t>802.11n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31B83D42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6,5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  <w:r w:rsidRPr="00227D58">
              <w:rPr>
                <w:sz w:val="21"/>
                <w:szCs w:val="21"/>
              </w:rPr>
              <w:t xml:space="preserve"> έως 300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  <w:r w:rsidRPr="00227D58">
              <w:rPr>
                <w:sz w:val="21"/>
                <w:szCs w:val="21"/>
              </w:rPr>
              <w:t xml:space="preserve"> (MCS0 - MCS15, HT 20/40))</w:t>
            </w:r>
          </w:p>
        </w:tc>
      </w:tr>
      <w:tr w:rsidR="002B7376" w:rsidRPr="00227D58" w14:paraId="25AE95CB" w14:textId="77777777" w:rsidTr="008074D1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5FC1248D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b/>
                <w:bCs/>
                <w:sz w:val="21"/>
                <w:szCs w:val="21"/>
              </w:rPr>
            </w:pPr>
            <w:r w:rsidRPr="00227D58">
              <w:rPr>
                <w:b/>
                <w:bCs/>
                <w:sz w:val="21"/>
                <w:szCs w:val="21"/>
              </w:rPr>
              <w:lastRenderedPageBreak/>
              <w:t>802.11ac</w:t>
            </w:r>
          </w:p>
        </w:tc>
        <w:tc>
          <w:tcPr>
            <w:tcW w:w="5004" w:type="dxa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14:paraId="0FA41B0E" w14:textId="77777777" w:rsidR="002B7376" w:rsidRPr="00227D58" w:rsidRDefault="002B7376" w:rsidP="008074D1">
            <w:pPr>
              <w:widowControl/>
              <w:autoSpaceDE/>
              <w:autoSpaceDN/>
              <w:adjustRightInd/>
              <w:spacing w:line="300" w:lineRule="atLeast"/>
              <w:rPr>
                <w:sz w:val="21"/>
                <w:szCs w:val="21"/>
              </w:rPr>
            </w:pPr>
            <w:r w:rsidRPr="00227D58">
              <w:rPr>
                <w:sz w:val="21"/>
                <w:szCs w:val="21"/>
              </w:rPr>
              <w:t xml:space="preserve">6,5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  <w:r w:rsidRPr="00227D58">
              <w:rPr>
                <w:sz w:val="21"/>
                <w:szCs w:val="21"/>
              </w:rPr>
              <w:t xml:space="preserve"> έως 867 </w:t>
            </w:r>
            <w:proofErr w:type="spellStart"/>
            <w:r w:rsidRPr="00227D58">
              <w:rPr>
                <w:sz w:val="21"/>
                <w:szCs w:val="21"/>
              </w:rPr>
              <w:t>Mbps</w:t>
            </w:r>
            <w:proofErr w:type="spellEnd"/>
            <w:r w:rsidRPr="00227D58">
              <w:rPr>
                <w:sz w:val="21"/>
                <w:szCs w:val="21"/>
              </w:rPr>
              <w:t xml:space="preserve"> (MCS0 - MCS9 NSS1/2, VHT 20/40/80)</w:t>
            </w:r>
          </w:p>
        </w:tc>
      </w:tr>
    </w:tbl>
    <w:p w14:paraId="35B55EF2" w14:textId="77777777" w:rsidR="002B7376" w:rsidRPr="00227D58" w:rsidRDefault="002B7376" w:rsidP="002B7376">
      <w:pPr>
        <w:ind w:right="84"/>
        <w:rPr>
          <w:sz w:val="24"/>
          <w:szCs w:val="24"/>
        </w:rPr>
      </w:pPr>
      <w:r w:rsidRPr="00227D58">
        <w:rPr>
          <w:sz w:val="24"/>
          <w:szCs w:val="24"/>
        </w:rPr>
        <w:t xml:space="preserve"> </w:t>
      </w:r>
    </w:p>
    <w:p w14:paraId="0A08275C" w14:textId="77777777" w:rsidR="002B7376" w:rsidRPr="00227D58" w:rsidRDefault="002B7376" w:rsidP="002B7376">
      <w:pPr>
        <w:ind w:right="84"/>
        <w:rPr>
          <w:b/>
          <w:bCs/>
          <w:sz w:val="24"/>
          <w:szCs w:val="24"/>
        </w:rPr>
      </w:pPr>
      <w:r w:rsidRPr="00227D58">
        <w:rPr>
          <w:b/>
          <w:bCs/>
          <w:sz w:val="24"/>
          <w:szCs w:val="24"/>
        </w:rPr>
        <w:t xml:space="preserve">ΠΡΟΣΟΧΗ </w:t>
      </w:r>
    </w:p>
    <w:p w14:paraId="75DAA5CC" w14:textId="77777777" w:rsidR="002B7376" w:rsidRPr="002B7376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 xml:space="preserve">Θα πρέπει οι αναμεταδότες να έχουν ειδική φωτεινή ένδειξη για την ορθή σύζευξη μεταξύ τους και αν είναι και δυνατό για την ποιότητα του σήματος. </w:t>
      </w:r>
    </w:p>
    <w:p w14:paraId="601777D9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  <w:r w:rsidRPr="00227D58">
        <w:rPr>
          <w:sz w:val="24"/>
          <w:szCs w:val="24"/>
        </w:rPr>
        <w:t>Οι αναμεταδότες θα πρέπει να διατίθενται σε ζευγάρια τα οποία θα πρέπει να είναι προ ρυθμισμένα μεταξύ τους.</w:t>
      </w:r>
    </w:p>
    <w:p w14:paraId="7F5D99AB" w14:textId="77777777" w:rsidR="002B7376" w:rsidRPr="00227D58" w:rsidRDefault="002B7376" w:rsidP="002B7376">
      <w:pPr>
        <w:ind w:right="84"/>
        <w:jc w:val="both"/>
        <w:rPr>
          <w:sz w:val="24"/>
          <w:szCs w:val="24"/>
        </w:rPr>
      </w:pPr>
    </w:p>
    <w:p w14:paraId="44DD2D28" w14:textId="77777777" w:rsidR="002B7376" w:rsidRPr="00227D58" w:rsidRDefault="002B7376" w:rsidP="002B7376">
      <w:pPr>
        <w:ind w:right="84"/>
        <w:rPr>
          <w:sz w:val="24"/>
          <w:szCs w:val="24"/>
        </w:rPr>
      </w:pPr>
    </w:p>
    <w:p w14:paraId="741A3111" w14:textId="77777777" w:rsidR="002B7376" w:rsidRPr="00227D58" w:rsidRDefault="002B7376" w:rsidP="002B7376">
      <w:pPr>
        <w:ind w:right="84"/>
        <w:rPr>
          <w:b/>
          <w:bCs/>
          <w:sz w:val="24"/>
          <w:szCs w:val="24"/>
        </w:rPr>
      </w:pPr>
      <w:r w:rsidRPr="00227D58">
        <w:rPr>
          <w:b/>
          <w:bCs/>
          <w:sz w:val="24"/>
          <w:szCs w:val="24"/>
        </w:rPr>
        <w:t>Τεχνικές προδιαγραφές καλωδίου</w:t>
      </w:r>
    </w:p>
    <w:p w14:paraId="2BD95BB4" w14:textId="77777777" w:rsidR="002B7376" w:rsidRPr="00227D58" w:rsidRDefault="002B7376" w:rsidP="002B7376">
      <w:pPr>
        <w:ind w:right="84"/>
        <w:rPr>
          <w:b/>
          <w:bCs/>
          <w:sz w:val="24"/>
          <w:szCs w:val="24"/>
        </w:rPr>
      </w:pPr>
    </w:p>
    <w:p w14:paraId="4C9FCC0D" w14:textId="77777777" w:rsidR="002B7376" w:rsidRPr="00227D58" w:rsidRDefault="002B7376" w:rsidP="002B7376">
      <w:pPr>
        <w:ind w:right="84"/>
      </w:pPr>
      <w:r w:rsidRPr="00227D58">
        <w:t xml:space="preserve">Το καλώδιο που θα χρησιμοποιηθεί για τις εξωτερικές καλωδιώσεις θα πρέπει να είναι FTP </w:t>
      </w:r>
      <w:proofErr w:type="spellStart"/>
      <w:r w:rsidRPr="00227D58">
        <w:t>cat</w:t>
      </w:r>
      <w:proofErr w:type="spellEnd"/>
      <w:r w:rsidRPr="00227D58">
        <w:t xml:space="preserve"> 6 4x2xAWG23 και να πληροί τις παρακάτω τεχνικές προδιαγραφές.</w:t>
      </w:r>
    </w:p>
    <w:p w14:paraId="2963E963" w14:textId="77777777" w:rsidR="002B7376" w:rsidRPr="00227D58" w:rsidRDefault="002B7376" w:rsidP="002B7376">
      <w:pPr>
        <w:ind w:right="84"/>
      </w:pPr>
    </w:p>
    <w:p w14:paraId="78FD4C8F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Δομή καλωδίου</w:t>
      </w:r>
      <w:r w:rsidRPr="00227D58">
        <w:t xml:space="preserve"> </w:t>
      </w:r>
    </w:p>
    <w:p w14:paraId="286F02BC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Αγωγοί:</w:t>
      </w:r>
      <w:r w:rsidRPr="00227D58">
        <w:t xml:space="preserve"> Μονόκλωνα σύρματα χαλκού διαμέτρου 0.55 </w:t>
      </w:r>
      <w:proofErr w:type="spellStart"/>
      <w:r w:rsidRPr="00227D58">
        <w:t>mm</w:t>
      </w:r>
      <w:proofErr w:type="spellEnd"/>
    </w:p>
    <w:p w14:paraId="45C8B8A5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Μόνωση αγωγών:</w:t>
      </w:r>
      <w:r w:rsidRPr="00227D58">
        <w:t xml:space="preserve"> Από πολυαιθυλένιο (PE) 1.10 </w:t>
      </w:r>
      <w:proofErr w:type="spellStart"/>
      <w:r w:rsidRPr="00227D58">
        <w:t>mm</w:t>
      </w:r>
      <w:proofErr w:type="spellEnd"/>
    </w:p>
    <w:p w14:paraId="40605D52" w14:textId="77777777" w:rsidR="002B7376" w:rsidRPr="00227D58" w:rsidRDefault="002B7376" w:rsidP="002B7376">
      <w:pPr>
        <w:ind w:right="84"/>
        <w:rPr>
          <w:b/>
          <w:bCs/>
        </w:rPr>
      </w:pPr>
      <w:r w:rsidRPr="00227D58">
        <w:rPr>
          <w:b/>
          <w:bCs/>
        </w:rPr>
        <w:t xml:space="preserve">Κωδικοποίηση αγωγών: </w:t>
      </w:r>
    </w:p>
    <w:p w14:paraId="4BE8E24A" w14:textId="77777777" w:rsidR="002B7376" w:rsidRPr="00227D58" w:rsidRDefault="002B7376" w:rsidP="002B7376">
      <w:pPr>
        <w:ind w:right="84"/>
      </w:pPr>
      <w:r w:rsidRPr="00227D58">
        <w:t xml:space="preserve">1ο ζεύγος άσπρο/μπλε-μπλε </w:t>
      </w:r>
    </w:p>
    <w:p w14:paraId="403E0002" w14:textId="77777777" w:rsidR="002B7376" w:rsidRPr="00227D58" w:rsidRDefault="002B7376" w:rsidP="002B7376">
      <w:pPr>
        <w:ind w:right="84"/>
      </w:pPr>
      <w:r w:rsidRPr="00227D58">
        <w:t xml:space="preserve">2ο ζεύγος άσπρο/πορτοκαλί-πορτοκαλί </w:t>
      </w:r>
    </w:p>
    <w:p w14:paraId="25931F60" w14:textId="77777777" w:rsidR="002B7376" w:rsidRPr="00227D58" w:rsidRDefault="002B7376" w:rsidP="002B7376">
      <w:pPr>
        <w:ind w:right="84"/>
      </w:pPr>
      <w:r w:rsidRPr="00227D58">
        <w:t xml:space="preserve">3ο ζεύγος άσπρο/πράσινο-πράσινο </w:t>
      </w:r>
    </w:p>
    <w:p w14:paraId="182766C4" w14:textId="77777777" w:rsidR="002B7376" w:rsidRPr="00227D58" w:rsidRDefault="002B7376" w:rsidP="002B7376">
      <w:pPr>
        <w:ind w:right="84"/>
      </w:pPr>
      <w:r w:rsidRPr="00227D58">
        <w:t xml:space="preserve">4ο ζεύγος άσπρο/καφέ-καφέ </w:t>
      </w:r>
    </w:p>
    <w:p w14:paraId="3A9E2C38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Θωράκιση:</w:t>
      </w:r>
      <w:r w:rsidRPr="00227D58">
        <w:t xml:space="preserve"> Συνολική θωράκιση από πλαστικοποιημένο φύλλο αλουμινίου</w:t>
      </w:r>
    </w:p>
    <w:p w14:paraId="611330F7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Αγωγός συνέχειας:</w:t>
      </w:r>
      <w:r w:rsidRPr="00227D58">
        <w:t xml:space="preserve"> Από επικασσιτερωμένο χαλκό</w:t>
      </w:r>
    </w:p>
    <w:p w14:paraId="384A5EA7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Εξωτερικός μανδύας:</w:t>
      </w:r>
      <w:r w:rsidRPr="00227D58">
        <w:t xml:space="preserve"> Από πολυαιθυλένιο (PE) χρώματος μαύρου</w:t>
      </w:r>
    </w:p>
    <w:p w14:paraId="181E0E3A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Εξωτερική διάμετρος καλωδίου ≥</w:t>
      </w:r>
      <w:r w:rsidRPr="00227D58">
        <w:t xml:space="preserve"> 7.2 </w:t>
      </w:r>
      <w:proofErr w:type="spellStart"/>
      <w:r w:rsidRPr="00227D58">
        <w:t>mm</w:t>
      </w:r>
      <w:proofErr w:type="spellEnd"/>
    </w:p>
    <w:p w14:paraId="54148D94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Βάρος χαλκού ≥</w:t>
      </w:r>
      <w:r w:rsidRPr="00227D58">
        <w:t xml:space="preserve"> 20 </w:t>
      </w:r>
      <w:proofErr w:type="spellStart"/>
      <w:r w:rsidRPr="00227D58">
        <w:t>kg</w:t>
      </w:r>
      <w:proofErr w:type="spellEnd"/>
      <w:r w:rsidRPr="00227D58">
        <w:t>/</w:t>
      </w:r>
      <w:proofErr w:type="spellStart"/>
      <w:r w:rsidRPr="00227D58">
        <w:t>km</w:t>
      </w:r>
      <w:proofErr w:type="spellEnd"/>
      <w:r w:rsidRPr="00227D58">
        <w:t xml:space="preserve"> </w:t>
      </w:r>
    </w:p>
    <w:p w14:paraId="33883DAF" w14:textId="77777777" w:rsidR="002B7376" w:rsidRPr="00227D58" w:rsidRDefault="002B7376" w:rsidP="002B7376">
      <w:pPr>
        <w:ind w:right="84"/>
      </w:pPr>
      <w:r w:rsidRPr="00227D58">
        <w:rPr>
          <w:b/>
          <w:bCs/>
        </w:rPr>
        <w:t>Βάρος καλωδίου ≥</w:t>
      </w:r>
      <w:r w:rsidRPr="00227D58">
        <w:t xml:space="preserve"> 46 </w:t>
      </w:r>
      <w:proofErr w:type="spellStart"/>
      <w:r w:rsidRPr="00227D58">
        <w:t>kg</w:t>
      </w:r>
      <w:proofErr w:type="spellEnd"/>
      <w:r w:rsidRPr="00227D58">
        <w:t>/</w:t>
      </w:r>
      <w:proofErr w:type="spellStart"/>
      <w:r w:rsidRPr="00227D58">
        <w:t>km</w:t>
      </w:r>
      <w:proofErr w:type="spellEnd"/>
      <w:r w:rsidRPr="00227D58">
        <w:t xml:space="preserve"> </w:t>
      </w:r>
    </w:p>
    <w:p w14:paraId="0CB33107" w14:textId="77777777" w:rsidR="002B7376" w:rsidRPr="00227D58" w:rsidRDefault="002B7376" w:rsidP="002B7376">
      <w:pPr>
        <w:ind w:right="84"/>
        <w:rPr>
          <w:b/>
          <w:bCs/>
        </w:rPr>
      </w:pPr>
      <w:r w:rsidRPr="00227D58">
        <w:rPr>
          <w:b/>
          <w:bCs/>
        </w:rPr>
        <w:t>Τεχνικές πληροφορίες</w:t>
      </w:r>
    </w:p>
    <w:p w14:paraId="516C93D6" w14:textId="77777777" w:rsidR="002B7376" w:rsidRPr="00227D58" w:rsidRDefault="002B7376" w:rsidP="002B7376">
      <w:pPr>
        <w:ind w:right="84"/>
        <w:rPr>
          <w:b/>
          <w:bCs/>
        </w:rPr>
      </w:pPr>
      <w:r w:rsidRPr="00227D58">
        <w:rPr>
          <w:b/>
          <w:bCs/>
        </w:rPr>
        <w:t xml:space="preserve">Περιοχή Θερμοκρασίας: </w:t>
      </w:r>
    </w:p>
    <w:p w14:paraId="4D705EB8" w14:textId="77777777" w:rsidR="002B7376" w:rsidRPr="00227D58" w:rsidRDefault="002B7376" w:rsidP="002B7376">
      <w:pPr>
        <w:ind w:right="84"/>
      </w:pPr>
      <w:r w:rsidRPr="00227D58">
        <w:t xml:space="preserve">Κατά την εγκατάσταση: 0o C - 50ο C </w:t>
      </w:r>
    </w:p>
    <w:p w14:paraId="6AEE9AD9" w14:textId="77777777" w:rsidR="002B7376" w:rsidRPr="00227D58" w:rsidRDefault="002B7376" w:rsidP="002B7376">
      <w:pPr>
        <w:ind w:right="84"/>
      </w:pPr>
      <w:r w:rsidRPr="00227D58">
        <w:t>Κατά τη λειτουργία: -40ο C - 80o C</w:t>
      </w:r>
    </w:p>
    <w:p w14:paraId="5EB76726" w14:textId="77777777" w:rsidR="002B7376" w:rsidRPr="00227D58" w:rsidRDefault="002B7376" w:rsidP="002B7376">
      <w:pPr>
        <w:ind w:right="84"/>
        <w:rPr>
          <w:b/>
          <w:bCs/>
        </w:rPr>
      </w:pPr>
      <w:r w:rsidRPr="00227D58">
        <w:rPr>
          <w:b/>
          <w:bCs/>
        </w:rPr>
        <w:t>Ελάχιστη ακτίνα κάμψης:</w:t>
      </w:r>
    </w:p>
    <w:p w14:paraId="3CFD016F" w14:textId="77777777" w:rsidR="002B7376" w:rsidRPr="00227D58" w:rsidRDefault="002B7376" w:rsidP="002B7376">
      <w:pPr>
        <w:ind w:right="84"/>
      </w:pPr>
      <w:r w:rsidRPr="00227D58">
        <w:t>Κατά την εγκατάσταση: 8 x D</w:t>
      </w:r>
    </w:p>
    <w:p w14:paraId="512CD6FD" w14:textId="77777777" w:rsidR="002B7376" w:rsidRPr="00227D58" w:rsidRDefault="002B7376" w:rsidP="002B7376">
      <w:pPr>
        <w:ind w:right="84"/>
      </w:pPr>
      <w:r w:rsidRPr="00227D58">
        <w:t>Εγκατεστημένο: 4 x D</w:t>
      </w:r>
    </w:p>
    <w:p w14:paraId="404095AE" w14:textId="77777777" w:rsidR="002B7376" w:rsidRPr="00227D58" w:rsidRDefault="002B7376" w:rsidP="002B7376">
      <w:pPr>
        <w:ind w:right="84"/>
      </w:pPr>
    </w:p>
    <w:p w14:paraId="08BB1206" w14:textId="77777777" w:rsidR="002B7376" w:rsidRPr="00227D58" w:rsidRDefault="00ED144B" w:rsidP="002B7376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hyperlink r:id="rId4" w:anchor="additional" w:history="1">
        <w:r w:rsidR="002B7376" w:rsidRPr="00227D58">
          <w:rPr>
            <w:rFonts w:ascii="Arial" w:hAnsi="Arial" w:cs="Arial"/>
            <w:b/>
            <w:bCs/>
            <w:color w:val="333333"/>
            <w:sz w:val="24"/>
            <w:szCs w:val="24"/>
            <w:u w:val="single"/>
            <w:bdr w:val="none" w:sz="0" w:space="0" w:color="auto" w:frame="1"/>
          </w:rPr>
          <w:t>Τεχνικά χαρακτηριστικά</w:t>
        </w:r>
      </w:hyperlink>
      <w:r w:rsidR="002B7376" w:rsidRPr="00227D58">
        <w:rPr>
          <w:rFonts w:ascii="Arial" w:hAnsi="Arial" w:cs="Arial"/>
          <w:b/>
          <w:bCs/>
          <w:sz w:val="24"/>
          <w:szCs w:val="24"/>
          <w:u w:val="single"/>
        </w:rPr>
        <w:t xml:space="preserve"> σπιράλ εγκατάστασης</w:t>
      </w:r>
      <w:r w:rsidR="002B7376" w:rsidRPr="002B73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BAF338B" w14:textId="77777777" w:rsidR="002B7376" w:rsidRPr="00227D58" w:rsidRDefault="002B7376" w:rsidP="002B7376">
      <w:pPr>
        <w:widowControl/>
        <w:shd w:val="clear" w:color="auto" w:fill="FFFFFF"/>
        <w:autoSpaceDE/>
        <w:autoSpaceDN/>
        <w:adjustRightInd/>
        <w:jc w:val="right"/>
        <w:rPr>
          <w:b/>
          <w:bCs/>
          <w:color w:val="5E6986"/>
          <w:sz w:val="24"/>
          <w:szCs w:val="24"/>
        </w:rPr>
      </w:pPr>
      <w:r w:rsidRPr="004E2692">
        <w:rPr>
          <w:b/>
          <w:bCs/>
          <w:vanish/>
          <w:color w:val="5E6986"/>
          <w:sz w:val="24"/>
          <w:szCs w:val="24"/>
        </w:rPr>
        <w:t>Διαθεσιμότητα</w:t>
      </w:r>
    </w:p>
    <w:p w14:paraId="5B591A49" w14:textId="4C86475D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>Διάμετρος (</w:t>
      </w:r>
      <w:proofErr w:type="spellStart"/>
      <w:r w:rsidRPr="00227D58">
        <w:rPr>
          <w:rFonts w:ascii="Arial" w:hAnsi="Arial" w:cs="Arial"/>
          <w:b/>
          <w:bCs/>
        </w:rPr>
        <w:t>cm</w:t>
      </w:r>
      <w:proofErr w:type="spellEnd"/>
      <w:r w:rsidRPr="00227D58">
        <w:rPr>
          <w:rFonts w:ascii="Arial" w:hAnsi="Arial" w:cs="Arial"/>
          <w:b/>
          <w:bCs/>
        </w:rPr>
        <w:t>)</w:t>
      </w:r>
      <w:r w:rsidRPr="00227D58">
        <w:rPr>
          <w:rFonts w:ascii="Arial" w:hAnsi="Arial" w:cs="Arial"/>
        </w:rPr>
        <w:t xml:space="preserve">: να μπορεί να περάσει μέχρι και </w:t>
      </w:r>
      <w:r w:rsidR="007B0471">
        <w:rPr>
          <w:rFonts w:ascii="Arial" w:hAnsi="Arial" w:cs="Arial"/>
        </w:rPr>
        <w:t>2</w:t>
      </w:r>
      <w:r w:rsidRPr="00227D58">
        <w:rPr>
          <w:rFonts w:ascii="Arial" w:hAnsi="Arial" w:cs="Arial"/>
        </w:rPr>
        <w:t xml:space="preserve"> καλώδια από αυτά που προδιαγράφονται παραπάνω</w:t>
      </w:r>
    </w:p>
    <w:p w14:paraId="0452449B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>Αντοχή στη Συμπίεση</w:t>
      </w:r>
      <w:r w:rsidRPr="00227D58">
        <w:rPr>
          <w:rFonts w:ascii="Arial" w:hAnsi="Arial" w:cs="Arial"/>
        </w:rPr>
        <w:t xml:space="preserve"> 750N</w:t>
      </w:r>
    </w:p>
    <w:p w14:paraId="631E98DE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>Είδος</w:t>
      </w:r>
      <w:r w:rsidRPr="00227D58">
        <w:rPr>
          <w:rFonts w:ascii="Arial" w:hAnsi="Arial" w:cs="Arial"/>
        </w:rPr>
        <w:t xml:space="preserve"> Σπιράλ</w:t>
      </w:r>
    </w:p>
    <w:p w14:paraId="27DB5D15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 xml:space="preserve">Τοποθέτηση: </w:t>
      </w:r>
      <w:r w:rsidRPr="00227D58">
        <w:rPr>
          <w:rFonts w:ascii="Arial" w:hAnsi="Arial" w:cs="Arial"/>
        </w:rPr>
        <w:t xml:space="preserve">Εξωτερική / Χωνευτή / </w:t>
      </w:r>
      <w:proofErr w:type="spellStart"/>
      <w:r w:rsidRPr="00227D58">
        <w:rPr>
          <w:rFonts w:ascii="Arial" w:hAnsi="Arial" w:cs="Arial"/>
        </w:rPr>
        <w:t>Επίτοιχη</w:t>
      </w:r>
      <w:proofErr w:type="spellEnd"/>
    </w:p>
    <w:p w14:paraId="258EBFB4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 xml:space="preserve">Υλικό: </w:t>
      </w:r>
      <w:r w:rsidRPr="00227D58">
        <w:rPr>
          <w:rFonts w:ascii="Arial" w:hAnsi="Arial" w:cs="Arial"/>
        </w:rPr>
        <w:t>PVC</w:t>
      </w:r>
    </w:p>
    <w:p w14:paraId="705D2465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 xml:space="preserve">Αντοχή στη Γήρανση: </w:t>
      </w:r>
      <w:proofErr w:type="spellStart"/>
      <w:r w:rsidRPr="00227D58">
        <w:rPr>
          <w:rFonts w:ascii="Arial" w:hAnsi="Arial" w:cs="Arial"/>
        </w:rPr>
        <w:t>Βαρέως</w:t>
      </w:r>
      <w:proofErr w:type="spellEnd"/>
      <w:r w:rsidRPr="00227D58">
        <w:rPr>
          <w:rFonts w:ascii="Arial" w:hAnsi="Arial" w:cs="Arial"/>
        </w:rPr>
        <w:t xml:space="preserve"> Τύπου</w:t>
      </w:r>
    </w:p>
    <w:p w14:paraId="404A25E3" w14:textId="77777777" w:rsidR="002B7376" w:rsidRPr="00227D58" w:rsidRDefault="002B7376" w:rsidP="002B7376">
      <w:pPr>
        <w:pStyle w:val="a3"/>
        <w:rPr>
          <w:rFonts w:ascii="Arial" w:hAnsi="Arial" w:cs="Arial"/>
        </w:rPr>
      </w:pPr>
      <w:r w:rsidRPr="00227D58">
        <w:rPr>
          <w:rFonts w:ascii="Arial" w:hAnsi="Arial" w:cs="Arial"/>
          <w:b/>
          <w:bCs/>
        </w:rPr>
        <w:t xml:space="preserve">Δεν Διαδίδει τη Φλόγα: </w:t>
      </w:r>
      <w:r w:rsidRPr="00227D58">
        <w:rPr>
          <w:rFonts w:ascii="Arial" w:hAnsi="Arial" w:cs="Arial"/>
        </w:rPr>
        <w:t>Ναι</w:t>
      </w:r>
    </w:p>
    <w:p w14:paraId="779C3E38" w14:textId="77777777" w:rsidR="002B7376" w:rsidRPr="00227D58" w:rsidRDefault="002B7376" w:rsidP="002B7376">
      <w:pPr>
        <w:pStyle w:val="a3"/>
      </w:pPr>
    </w:p>
    <w:p w14:paraId="5E52DB90" w14:textId="77777777" w:rsidR="00730F18" w:rsidRDefault="00730F18"/>
    <w:sectPr w:rsidR="00730F18" w:rsidSect="002B7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76"/>
    <w:rsid w:val="00177146"/>
    <w:rsid w:val="002B7376"/>
    <w:rsid w:val="00427292"/>
    <w:rsid w:val="00730F18"/>
    <w:rsid w:val="007B0471"/>
    <w:rsid w:val="00B73855"/>
    <w:rsid w:val="00E150C3"/>
    <w:rsid w:val="00E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AAC0"/>
  <w15:chartTrackingRefBased/>
  <w15:docId w15:val="{816A1B54-9985-4A07-A790-688E5F0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idanis.gr/el/viospiral-garden-susk-25m-f-20-71-1105503020.html?srsltid=AfmBOooq_5su7k03nj9O8C_Haeq2J-KE291Cwhwo_1p1RouV8er2bh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Γουλιδάκης</dc:creator>
  <cp:keywords/>
  <dc:description/>
  <cp:lastModifiedBy>Επιτροπή Αγορών</cp:lastModifiedBy>
  <cp:revision>2</cp:revision>
  <dcterms:created xsi:type="dcterms:W3CDTF">2024-10-03T05:16:00Z</dcterms:created>
  <dcterms:modified xsi:type="dcterms:W3CDTF">2024-10-03T05:16:00Z</dcterms:modified>
</cp:coreProperties>
</file>